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5" w:type="dxa"/>
        <w:tblCellSpacing w:w="0" w:type="dxa"/>
        <w:shd w:val="clear" w:color="auto" w:fill="EAEAEA"/>
        <w:tblCellMar>
          <w:left w:w="0" w:type="dxa"/>
          <w:right w:w="0" w:type="dxa"/>
        </w:tblCellMar>
        <w:tblLook w:val="04A0" w:firstRow="1" w:lastRow="0" w:firstColumn="1" w:lastColumn="0" w:noHBand="0" w:noVBand="1"/>
      </w:tblPr>
      <w:tblGrid>
        <w:gridCol w:w="3206"/>
        <w:gridCol w:w="5036"/>
        <w:gridCol w:w="1058"/>
        <w:gridCol w:w="1058"/>
        <w:gridCol w:w="1030"/>
      </w:tblGrid>
      <w:tr w:rsidR="00026C50" w:rsidRPr="00026C50" w:rsidTr="00026C50">
        <w:trPr>
          <w:gridAfter w:val="1"/>
          <w:wAfter w:w="300" w:type="dxa"/>
          <w:tblCellSpacing w:w="0" w:type="dxa"/>
        </w:trPr>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br/>
              <w:t>PART 1 - REVENUE AND SUPPORT</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2016 data</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2017 data</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 </w:t>
            </w:r>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 Federal government agencies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6"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 Corporation for Public Broadcasting (CPB)</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$120,177</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$159,251</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7"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3. All other public broadcasting entities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8"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4. State and local boards and departments of education or other state and local government or agency sources</w:t>
            </w:r>
          </w:p>
          <w:tbl>
            <w:tblPr>
              <w:tblW w:w="0" w:type="auto"/>
              <w:tblCellSpacing w:w="0" w:type="dxa"/>
              <w:tblCellMar>
                <w:left w:w="0" w:type="dxa"/>
                <w:right w:w="0" w:type="dxa"/>
              </w:tblCellMar>
              <w:tblLook w:val="04A0" w:firstRow="1" w:lastRow="0" w:firstColumn="1" w:lastColumn="0" w:noHBand="0" w:noVBand="1"/>
            </w:tblPr>
            <w:tblGrid>
              <w:gridCol w:w="1770"/>
              <w:gridCol w:w="1058"/>
              <w:gridCol w:w="1058"/>
              <w:gridCol w:w="1000"/>
            </w:tblGrid>
            <w:tr w:rsidR="00026C50" w:rsidRPr="00026C50">
              <w:trPr>
                <w:gridAfter w:val="1"/>
                <w:wAfter w:w="300" w:type="dxa"/>
                <w:tblHeader/>
                <w:tblCellSpacing w:w="0" w:type="dxa"/>
              </w:trPr>
              <w:tc>
                <w:tcPr>
                  <w:tcW w:w="0" w:type="auto"/>
                  <w:tcBorders>
                    <w:bottom w:val="single" w:sz="6" w:space="0" w:color="CCCCCC"/>
                  </w:tcBorders>
                  <w:noWrap/>
                  <w:tcMar>
                    <w:top w:w="45" w:type="dxa"/>
                    <w:left w:w="0" w:type="dxa"/>
                    <w:bottom w:w="0" w:type="dxa"/>
                    <w:right w:w="150" w:type="dxa"/>
                  </w:tcMar>
                  <w:vAlign w:val="bottom"/>
                  <w:hideMark/>
                </w:tcPr>
                <w:p w:rsidR="00026C50" w:rsidRPr="00026C50" w:rsidRDefault="00026C50" w:rsidP="00026C50">
                  <w:pPr>
                    <w:rPr>
                      <w:b/>
                      <w:bCs/>
                    </w:rPr>
                  </w:pPr>
                  <w:r w:rsidRPr="00026C50">
                    <w:rPr>
                      <w:b/>
                      <w:bCs/>
                    </w:rPr>
                    <w:t> </w:t>
                  </w:r>
                </w:p>
              </w:tc>
              <w:tc>
                <w:tcPr>
                  <w:tcW w:w="0" w:type="auto"/>
                  <w:tcBorders>
                    <w:bottom w:val="single" w:sz="6" w:space="0" w:color="CCCCCC"/>
                  </w:tcBorders>
                  <w:noWrap/>
                  <w:tcMar>
                    <w:top w:w="45" w:type="dxa"/>
                    <w:left w:w="0" w:type="dxa"/>
                    <w:bottom w:w="0" w:type="dxa"/>
                    <w:right w:w="150" w:type="dxa"/>
                  </w:tcMar>
                  <w:vAlign w:val="bottom"/>
                  <w:hideMark/>
                </w:tcPr>
                <w:p w:rsidR="00026C50" w:rsidRPr="00026C50" w:rsidRDefault="00026C50" w:rsidP="00026C50">
                  <w:pPr>
                    <w:rPr>
                      <w:b/>
                      <w:bCs/>
                    </w:rPr>
                  </w:pPr>
                  <w:r w:rsidRPr="00026C50">
                    <w:rPr>
                      <w:b/>
                      <w:bCs/>
                    </w:rPr>
                    <w:t>2016 data</w:t>
                  </w:r>
                </w:p>
              </w:tc>
              <w:tc>
                <w:tcPr>
                  <w:tcW w:w="0" w:type="auto"/>
                  <w:tcBorders>
                    <w:bottom w:val="single" w:sz="6" w:space="0" w:color="CCCCCC"/>
                  </w:tcBorders>
                  <w:noWrap/>
                  <w:tcMar>
                    <w:top w:w="45" w:type="dxa"/>
                    <w:left w:w="0" w:type="dxa"/>
                    <w:bottom w:w="0" w:type="dxa"/>
                    <w:right w:w="150" w:type="dxa"/>
                  </w:tcMar>
                  <w:vAlign w:val="bottom"/>
                  <w:hideMark/>
                </w:tcPr>
                <w:p w:rsidR="00026C50" w:rsidRPr="00026C50" w:rsidRDefault="00026C50" w:rsidP="00026C50">
                  <w:pPr>
                    <w:rPr>
                      <w:b/>
                      <w:bCs/>
                    </w:rPr>
                  </w:pPr>
                  <w:r w:rsidRPr="00026C50">
                    <w:rPr>
                      <w:b/>
                      <w:bCs/>
                    </w:rPr>
                    <w:t>2017 data</w:t>
                  </w:r>
                </w:p>
              </w:tc>
            </w:tr>
            <w:tr w:rsidR="00026C50" w:rsidRPr="00026C50">
              <w:trPr>
                <w:tblCellSpacing w:w="0" w:type="dxa"/>
              </w:trPr>
              <w:tc>
                <w:tcPr>
                  <w:tcW w:w="0" w:type="auto"/>
                  <w:tcBorders>
                    <w:bottom w:val="nil"/>
                  </w:tcBorders>
                  <w:tcMar>
                    <w:top w:w="0" w:type="dxa"/>
                    <w:left w:w="375" w:type="dxa"/>
                    <w:bottom w:w="0" w:type="dxa"/>
                    <w:right w:w="75" w:type="dxa"/>
                  </w:tcMar>
                  <w:hideMark/>
                </w:tcPr>
                <w:p w:rsidR="00026C50" w:rsidRPr="00026C50" w:rsidRDefault="00026C50" w:rsidP="00026C50">
                  <w:r w:rsidRPr="00026C50">
                    <w:t>4.1 Amount on Line 4 that represents appropriations and other direct support from the licensee</w:t>
                  </w:r>
                </w:p>
              </w:tc>
              <w:tc>
                <w:tcPr>
                  <w:tcW w:w="0" w:type="auto"/>
                  <w:tcBorders>
                    <w:bottom w:val="nil"/>
                  </w:tcBorders>
                  <w:noWrap/>
                  <w:tcMar>
                    <w:top w:w="60" w:type="dxa"/>
                    <w:left w:w="0" w:type="dxa"/>
                    <w:bottom w:w="0" w:type="dxa"/>
                    <w:right w:w="150" w:type="dxa"/>
                  </w:tcMar>
                  <w:hideMark/>
                </w:tcPr>
                <w:p w:rsidR="00026C50" w:rsidRPr="00026C50" w:rsidRDefault="00026C50" w:rsidP="00026C50">
                  <w:r w:rsidRPr="00026C50">
                    <w:t>$0</w:t>
                  </w:r>
                </w:p>
              </w:tc>
              <w:tc>
                <w:tcPr>
                  <w:tcW w:w="0" w:type="auto"/>
                  <w:tcBorders>
                    <w:bottom w:val="nil"/>
                  </w:tcBorders>
                  <w:noWrap/>
                  <w:tcMar>
                    <w:top w:w="60" w:type="dxa"/>
                    <w:left w:w="0" w:type="dxa"/>
                    <w:bottom w:w="0" w:type="dxa"/>
                    <w:right w:w="150" w:type="dxa"/>
                  </w:tcMar>
                  <w:hideMark/>
                </w:tcPr>
                <w:p w:rsidR="00026C50" w:rsidRPr="00026C50" w:rsidRDefault="00026C50" w:rsidP="00026C50">
                  <w:r w:rsidRPr="00026C50">
                    <w:t>$0</w:t>
                  </w:r>
                </w:p>
              </w:tc>
              <w:tc>
                <w:tcPr>
                  <w:tcW w:w="300" w:type="dxa"/>
                  <w:tcBorders>
                    <w:bottom w:val="nil"/>
                  </w:tcBorders>
                  <w:tcMar>
                    <w:top w:w="30" w:type="dxa"/>
                    <w:left w:w="30" w:type="dxa"/>
                    <w:bottom w:w="0" w:type="dxa"/>
                    <w:right w:w="0" w:type="dxa"/>
                  </w:tcMar>
                  <w:hideMark/>
                </w:tcPr>
                <w:p w:rsidR="00026C50" w:rsidRPr="00026C50" w:rsidRDefault="00026C50" w:rsidP="00026C50">
                  <w:hyperlink r:id="rId9" w:tooltip="Read or enter comments" w:history="1">
                    <w:r w:rsidRPr="00026C50">
                      <w:rPr>
                        <w:rStyle w:val="Hyperlink"/>
                      </w:rPr>
                      <w:t>Comments</w:t>
                    </w:r>
                  </w:hyperlink>
                </w:p>
              </w:tc>
            </w:tr>
          </w:tbl>
          <w:p w:rsidR="00026C50" w:rsidRPr="00026C50" w:rsidRDefault="00026C50" w:rsidP="00026C50"/>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10"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5. Colleges and universities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11"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6. Foundations and nonprofit associations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12"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lastRenderedPageBreak/>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7. Business and Industry</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$30,000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$28,258</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13"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8. Memberships and subscriptions (net of write-offs)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$87,857</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$69,708</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14"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9. Net revenue from auctions and other special fund raising activities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$200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15"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10. Passive income (interest, dividends, royalties, etc.)</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$540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$4,898</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16"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11. Other (specify)</w:t>
            </w:r>
          </w:p>
          <w:tbl>
            <w:tblPr>
              <w:tblW w:w="0" w:type="auto"/>
              <w:tblCellSpacing w:w="0" w:type="dxa"/>
              <w:shd w:val="clear" w:color="auto" w:fill="CCCCCC"/>
              <w:tblCellMar>
                <w:left w:w="0" w:type="dxa"/>
                <w:right w:w="0" w:type="dxa"/>
              </w:tblCellMar>
              <w:tblLook w:val="04A0" w:firstRow="1" w:lastRow="0" w:firstColumn="1" w:lastColumn="0" w:noHBand="0" w:noVBand="1"/>
            </w:tblPr>
            <w:tblGrid>
              <w:gridCol w:w="275"/>
              <w:gridCol w:w="2226"/>
              <w:gridCol w:w="968"/>
            </w:tblGrid>
            <w:tr w:rsidR="00026C50" w:rsidRPr="00026C50">
              <w:trPr>
                <w:tblHeader/>
                <w:tblCellSpacing w:w="0" w:type="dxa"/>
              </w:trPr>
              <w:tc>
                <w:tcPr>
                  <w:tcW w:w="0" w:type="auto"/>
                  <w:tcBorders>
                    <w:top w:val="nil"/>
                    <w:left w:val="nil"/>
                    <w:bottom w:val="nil"/>
                    <w:right w:val="nil"/>
                  </w:tcBorders>
                  <w:shd w:val="clear" w:color="auto" w:fill="CCCCCC"/>
                  <w:noWrap/>
                  <w:tcMar>
                    <w:top w:w="45" w:type="dxa"/>
                    <w:left w:w="75" w:type="dxa"/>
                    <w:bottom w:w="0" w:type="dxa"/>
                    <w:right w:w="150" w:type="dxa"/>
                  </w:tcMar>
                  <w:vAlign w:val="bottom"/>
                  <w:hideMark/>
                </w:tcPr>
                <w:p w:rsidR="00026C50" w:rsidRPr="00026C50" w:rsidRDefault="00026C50" w:rsidP="00026C50">
                  <w:pPr>
                    <w:rPr>
                      <w:b/>
                      <w:bCs/>
                    </w:rPr>
                  </w:pPr>
                  <w:r w:rsidRPr="00026C50">
                    <w:rPr>
                      <w:b/>
                      <w:bCs/>
                    </w:rPr>
                    <w:t> </w:t>
                  </w:r>
                </w:p>
              </w:tc>
              <w:tc>
                <w:tcPr>
                  <w:tcW w:w="0" w:type="auto"/>
                  <w:tcBorders>
                    <w:top w:val="nil"/>
                    <w:left w:val="nil"/>
                    <w:bottom w:val="nil"/>
                    <w:right w:val="nil"/>
                  </w:tcBorders>
                  <w:shd w:val="clear" w:color="auto" w:fill="CCCCCC"/>
                  <w:noWrap/>
                  <w:tcMar>
                    <w:top w:w="45" w:type="dxa"/>
                    <w:left w:w="75" w:type="dxa"/>
                    <w:bottom w:w="0" w:type="dxa"/>
                    <w:right w:w="150" w:type="dxa"/>
                  </w:tcMar>
                  <w:vAlign w:val="bottom"/>
                  <w:hideMark/>
                </w:tcPr>
                <w:p w:rsidR="00026C50" w:rsidRPr="00026C50" w:rsidRDefault="00026C50" w:rsidP="00026C50">
                  <w:pPr>
                    <w:rPr>
                      <w:b/>
                      <w:bCs/>
                    </w:rPr>
                  </w:pPr>
                  <w:r w:rsidRPr="00026C50">
                    <w:rPr>
                      <w:b/>
                      <w:bCs/>
                    </w:rPr>
                    <w:t>Description</w:t>
                  </w:r>
                </w:p>
              </w:tc>
              <w:tc>
                <w:tcPr>
                  <w:tcW w:w="0" w:type="auto"/>
                  <w:tcBorders>
                    <w:top w:val="nil"/>
                    <w:left w:val="nil"/>
                    <w:bottom w:val="nil"/>
                    <w:right w:val="nil"/>
                  </w:tcBorders>
                  <w:shd w:val="clear" w:color="auto" w:fill="CCCCCC"/>
                  <w:noWrap/>
                  <w:tcMar>
                    <w:top w:w="45" w:type="dxa"/>
                    <w:left w:w="75" w:type="dxa"/>
                    <w:bottom w:w="0" w:type="dxa"/>
                    <w:right w:w="150" w:type="dxa"/>
                  </w:tcMar>
                  <w:vAlign w:val="bottom"/>
                  <w:hideMark/>
                </w:tcPr>
                <w:p w:rsidR="00026C50" w:rsidRPr="00026C50" w:rsidRDefault="00026C50" w:rsidP="00026C50">
                  <w:pPr>
                    <w:rPr>
                      <w:b/>
                      <w:bCs/>
                    </w:rPr>
                  </w:pPr>
                  <w:r w:rsidRPr="00026C50">
                    <w:rPr>
                      <w:b/>
                      <w:bCs/>
                    </w:rPr>
                    <w:t>Amount</w:t>
                  </w:r>
                </w:p>
              </w:tc>
            </w:tr>
            <w:tr w:rsidR="00026C50" w:rsidRPr="00026C50">
              <w:trPr>
                <w:tblCellSpacing w:w="0" w:type="dxa"/>
              </w:trPr>
              <w:tc>
                <w:tcPr>
                  <w:tcW w:w="0" w:type="auto"/>
                  <w:tcBorders>
                    <w:bottom w:val="nil"/>
                  </w:tcBorders>
                  <w:shd w:val="clear" w:color="auto" w:fill="CCCCCC"/>
                  <w:tcMar>
                    <w:top w:w="0" w:type="dxa"/>
                    <w:left w:w="75" w:type="dxa"/>
                    <w:bottom w:w="0" w:type="dxa"/>
                    <w:right w:w="75" w:type="dxa"/>
                  </w:tcMar>
                  <w:hideMark/>
                </w:tcPr>
                <w:p w:rsidR="00026C50" w:rsidRPr="00026C50" w:rsidRDefault="00026C50" w:rsidP="00026C50">
                  <w:r w:rsidRPr="00026C50">
                    <w:t> </w:t>
                  </w:r>
                </w:p>
              </w:tc>
              <w:tc>
                <w:tcPr>
                  <w:tcW w:w="0" w:type="auto"/>
                  <w:tcBorders>
                    <w:bottom w:val="nil"/>
                  </w:tcBorders>
                  <w:shd w:val="clear" w:color="auto" w:fill="CCCCCC"/>
                  <w:tcMar>
                    <w:top w:w="0" w:type="dxa"/>
                    <w:left w:w="75" w:type="dxa"/>
                    <w:bottom w:w="45" w:type="dxa"/>
                    <w:right w:w="300" w:type="dxa"/>
                  </w:tcMar>
                  <w:hideMark/>
                </w:tcPr>
                <w:p w:rsidR="00026C50" w:rsidRPr="00026C50" w:rsidRDefault="00026C50" w:rsidP="00026C50">
                  <w:r w:rsidRPr="00026C50">
                    <w:t>Other Income</w:t>
                  </w:r>
                </w:p>
              </w:tc>
              <w:tc>
                <w:tcPr>
                  <w:tcW w:w="0" w:type="auto"/>
                  <w:tcBorders>
                    <w:bottom w:val="nil"/>
                  </w:tcBorders>
                  <w:shd w:val="clear" w:color="auto" w:fill="CCCCCC"/>
                  <w:noWrap/>
                  <w:tcMar>
                    <w:top w:w="0" w:type="dxa"/>
                    <w:left w:w="0" w:type="dxa"/>
                    <w:bottom w:w="0" w:type="dxa"/>
                    <w:right w:w="75" w:type="dxa"/>
                  </w:tcMar>
                  <w:hideMark/>
                </w:tcPr>
                <w:p w:rsidR="00026C50" w:rsidRPr="00026C50" w:rsidRDefault="00026C50" w:rsidP="00026C50">
                  <w:r w:rsidRPr="00026C50">
                    <w:t>$1,119</w:t>
                  </w:r>
                </w:p>
              </w:tc>
            </w:tr>
            <w:tr w:rsidR="00026C50" w:rsidRPr="00026C50">
              <w:trPr>
                <w:tblCellSpacing w:w="0" w:type="dxa"/>
              </w:trPr>
              <w:tc>
                <w:tcPr>
                  <w:tcW w:w="0" w:type="auto"/>
                  <w:tcBorders>
                    <w:bottom w:val="nil"/>
                  </w:tcBorders>
                  <w:shd w:val="clear" w:color="auto" w:fill="CCCCCC"/>
                  <w:tcMar>
                    <w:top w:w="0" w:type="dxa"/>
                    <w:left w:w="75" w:type="dxa"/>
                    <w:bottom w:w="0" w:type="dxa"/>
                    <w:right w:w="75" w:type="dxa"/>
                  </w:tcMar>
                  <w:hideMark/>
                </w:tcPr>
                <w:p w:rsidR="00026C50" w:rsidRPr="00026C50" w:rsidRDefault="00026C50" w:rsidP="00026C50">
                  <w:r w:rsidRPr="00026C50">
                    <w:t> </w:t>
                  </w:r>
                </w:p>
              </w:tc>
              <w:tc>
                <w:tcPr>
                  <w:tcW w:w="0" w:type="auto"/>
                  <w:tcBorders>
                    <w:bottom w:val="nil"/>
                  </w:tcBorders>
                  <w:shd w:val="clear" w:color="auto" w:fill="CCCCCC"/>
                  <w:tcMar>
                    <w:top w:w="0" w:type="dxa"/>
                    <w:left w:w="75" w:type="dxa"/>
                    <w:bottom w:w="45" w:type="dxa"/>
                    <w:right w:w="300" w:type="dxa"/>
                  </w:tcMar>
                  <w:hideMark/>
                </w:tcPr>
                <w:p w:rsidR="00026C50" w:rsidRPr="00026C50" w:rsidRDefault="00026C50" w:rsidP="00026C50">
                  <w:r w:rsidRPr="00026C50">
                    <w:t>Tower Space Rentals</w:t>
                  </w:r>
                </w:p>
              </w:tc>
              <w:tc>
                <w:tcPr>
                  <w:tcW w:w="0" w:type="auto"/>
                  <w:tcBorders>
                    <w:bottom w:val="nil"/>
                  </w:tcBorders>
                  <w:shd w:val="clear" w:color="auto" w:fill="CCCCCC"/>
                  <w:noWrap/>
                  <w:tcMar>
                    <w:top w:w="0" w:type="dxa"/>
                    <w:left w:w="0" w:type="dxa"/>
                    <w:bottom w:w="0" w:type="dxa"/>
                    <w:right w:w="75" w:type="dxa"/>
                  </w:tcMar>
                  <w:hideMark/>
                </w:tcPr>
                <w:p w:rsidR="00026C50" w:rsidRPr="00026C50" w:rsidRDefault="00026C50" w:rsidP="00026C50">
                  <w:r w:rsidRPr="00026C50">
                    <w:t>$26,982</w:t>
                  </w:r>
                </w:p>
              </w:tc>
            </w:tr>
            <w:tr w:rsidR="00026C50" w:rsidRPr="00026C50">
              <w:trPr>
                <w:tblCellSpacing w:w="0" w:type="dxa"/>
              </w:trPr>
              <w:tc>
                <w:tcPr>
                  <w:tcW w:w="0" w:type="auto"/>
                  <w:tcBorders>
                    <w:bottom w:val="nil"/>
                  </w:tcBorders>
                  <w:shd w:val="clear" w:color="auto" w:fill="CCCCCC"/>
                  <w:tcMar>
                    <w:top w:w="0" w:type="dxa"/>
                    <w:left w:w="75" w:type="dxa"/>
                    <w:bottom w:w="0" w:type="dxa"/>
                    <w:right w:w="75" w:type="dxa"/>
                  </w:tcMar>
                  <w:hideMark/>
                </w:tcPr>
                <w:p w:rsidR="00026C50" w:rsidRPr="00026C50" w:rsidRDefault="00026C50" w:rsidP="00026C50">
                  <w:r w:rsidRPr="00026C50">
                    <w:t> </w:t>
                  </w:r>
                </w:p>
              </w:tc>
              <w:tc>
                <w:tcPr>
                  <w:tcW w:w="0" w:type="auto"/>
                  <w:tcBorders>
                    <w:bottom w:val="nil"/>
                  </w:tcBorders>
                  <w:shd w:val="clear" w:color="auto" w:fill="CCCCCC"/>
                  <w:tcMar>
                    <w:top w:w="0" w:type="dxa"/>
                    <w:left w:w="75" w:type="dxa"/>
                    <w:bottom w:w="45" w:type="dxa"/>
                    <w:right w:w="300" w:type="dxa"/>
                  </w:tcMar>
                  <w:hideMark/>
                </w:tcPr>
                <w:p w:rsidR="00026C50" w:rsidRPr="00026C50" w:rsidRDefault="00026C50" w:rsidP="00026C50">
                  <w:r w:rsidRPr="00026C50">
                    <w:t>Underwriting</w:t>
                  </w:r>
                </w:p>
              </w:tc>
              <w:tc>
                <w:tcPr>
                  <w:tcW w:w="0" w:type="auto"/>
                  <w:tcBorders>
                    <w:bottom w:val="nil"/>
                  </w:tcBorders>
                  <w:shd w:val="clear" w:color="auto" w:fill="CCCCCC"/>
                  <w:noWrap/>
                  <w:tcMar>
                    <w:top w:w="0" w:type="dxa"/>
                    <w:left w:w="0" w:type="dxa"/>
                    <w:bottom w:w="0" w:type="dxa"/>
                    <w:right w:w="75" w:type="dxa"/>
                  </w:tcMar>
                  <w:hideMark/>
                </w:tcPr>
                <w:p w:rsidR="00026C50" w:rsidRPr="00026C50" w:rsidRDefault="00026C50" w:rsidP="00026C50">
                  <w:r w:rsidRPr="00026C50">
                    <w:t>$1,470</w:t>
                  </w:r>
                </w:p>
              </w:tc>
            </w:tr>
          </w:tbl>
          <w:p w:rsidR="00026C50" w:rsidRPr="00026C50" w:rsidRDefault="00026C50" w:rsidP="00026C50"/>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$37,968</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$29,571</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17"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12 Total Direct Revenue (sum of lines 1 through 11)</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$276,742</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$291,686</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18"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pPr>
              <w:rPr>
                <w:b/>
                <w:bCs/>
                <w:i/>
                <w:iCs/>
              </w:rPr>
            </w:pPr>
            <w:r w:rsidRPr="00026C50">
              <w:rPr>
                <w:b/>
                <w:bCs/>
                <w:i/>
                <w:iCs/>
              </w:rPr>
              <w:t>Less revenue that does not qualify as NFFS:</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w:t>
            </w:r>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13. Federal, CPB and public broadcasting revenues (sum of lines 1, 2 and 3)</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$120,177</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$159,251</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19"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xml:space="preserve">14. Other revenue on line 12 not meeting NFFS </w:t>
            </w:r>
            <w:r w:rsidRPr="00026C50">
              <w:lastRenderedPageBreak/>
              <w:t>criteria (from FSR Worksheet line W19. below)</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lastRenderedPageBreak/>
              <w:t>$17,938</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$26,982</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20"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lastRenderedPageBreak/>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15. Total Direct Nonfederal Financial Support (line 12 less lines 13 and 14)</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$138,627</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$105,453</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21"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16a. In-kind contributions allowable as NFFS (see instructions)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22"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16b. In-kind contributions unallowable as NFFS (see instructions)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23"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16c. Indirect administrative support (see instructions)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24"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16. Total in-kind revenue and indirect administrative support (lines 16a, 16b and 16c)</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25"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17. Total Revenue (sum of lines 12 and 16)</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$276,742</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$291,686</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26" w:tooltip="Read or enter comments" w:history="1">
              <w:r w:rsidRPr="00026C50">
                <w:rPr>
                  <w:rStyle w:val="Hyperlink"/>
                </w:rPr>
                <w:t>Comments</w:t>
              </w:r>
            </w:hyperlink>
          </w:p>
        </w:tc>
      </w:tr>
      <w:tr w:rsidR="00026C50" w:rsidRPr="00026C50" w:rsidTr="00026C50">
        <w:trPr>
          <w:tblCellSpacing w:w="0" w:type="dxa"/>
        </w:trPr>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PART 2 - EXPENSES</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2016 data</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2017 data</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 </w:t>
            </w:r>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18. Programming and Production</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$48,358</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$32,614</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27"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19. Broadcasting and engineering</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$2,457</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$2,190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28"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20. Program Information and Promotion</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29"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21. Management and General</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$217,554</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$220,632</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30"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22. Fund Raising and Membership Development</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31"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23. Underwriting and Grant Solicitation</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32"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24. Depreciation and Amortization (if not allocated above - see instructions)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33"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25. Total Operating Expenses (sum of lines 18 through 24)</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$268,369</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$255,436</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34"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26a. Land and Buildings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35"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26b. Equipment</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$2,000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$8,298</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36"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26c. All Other</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37"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26. Cost of Capital Assets Purchased or Donated</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$2,000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$8,298</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38" w:tooltip="Read or enter comments" w:history="1">
              <w:r w:rsidRPr="00026C50">
                <w:rPr>
                  <w:rStyle w:val="Hyperlink"/>
                </w:rPr>
                <w:t>Comments</w:t>
              </w:r>
            </w:hyperlink>
          </w:p>
        </w:tc>
      </w:tr>
      <w:tr w:rsidR="00026C50" w:rsidRPr="00026C50" w:rsidTr="00026C50">
        <w:trPr>
          <w:tblCellSpacing w:w="0" w:type="dxa"/>
        </w:trPr>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PART 3 - NFFS EXCLUSION WORKSHEET</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2016 data</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2017 data</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 </w:t>
            </w:r>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pPr>
              <w:rPr>
                <w:b/>
                <w:bCs/>
                <w:i/>
                <w:iCs/>
              </w:rPr>
            </w:pPr>
            <w:r w:rsidRPr="00026C50">
              <w:rPr>
                <w:b/>
                <w:bCs/>
                <w:i/>
                <w:iCs/>
              </w:rPr>
              <w:t xml:space="preserve">Use the following worksheet to report revenue not meeting the criteria for inclusion as NFFS. Unless revenue meets the specific criteria defined in the Communications Act of 1934, as amended, it must be </w:t>
            </w:r>
            <w:r w:rsidRPr="00026C50">
              <w:rPr>
                <w:b/>
                <w:bCs/>
                <w:i/>
                <w:iCs/>
              </w:rPr>
              <w:lastRenderedPageBreak/>
              <w:t>excluded from NFFS. This Worksheet is used to report revenue that must be excluded from the total amount shown on line 12 above.</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lastRenderedPageBreak/>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w:t>
            </w:r>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pPr>
              <w:rPr>
                <w:b/>
                <w:bCs/>
                <w:i/>
                <w:iCs/>
              </w:rPr>
            </w:pPr>
            <w:r w:rsidRPr="00026C50">
              <w:rPr>
                <w:b/>
                <w:bCs/>
                <w:i/>
                <w:iCs/>
              </w:rPr>
              <w:t>List revenue from for-profit corporations or individuals included in Part I - Total Direct Revenue (line 12), above, that is for the sale of goods and services as specified below:</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w:t>
            </w:r>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W1. Production, taping, or other broadcast related activities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39"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W2. Telecasting production / teleconferencing</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40"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W3. Foreign rights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41"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W4. Rentals of membership lists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42"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W5. Rentals of studio space, equipment, tower, parking space</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$9,768</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$26,982</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43"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W6. Leasing of SCA, VBI, ITFS channels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44"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W7. Sale of programs or program rights for public performance</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45"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lastRenderedPageBreak/>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W8. Sale or rental of program transcripts or recording for other than public performance, including private use</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46"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W9. Gains or losses on sale of assets and securities transactions (</w:t>
            </w:r>
            <w:proofErr w:type="spellStart"/>
            <w:r w:rsidRPr="00026C50">
              <w:t>reliazed</w:t>
            </w:r>
            <w:proofErr w:type="spellEnd"/>
            <w:r w:rsidRPr="00026C50">
              <w:t xml:space="preserve"> or </w:t>
            </w:r>
            <w:proofErr w:type="spellStart"/>
            <w:r w:rsidRPr="00026C50">
              <w:t>unreliazed</w:t>
            </w:r>
            <w:proofErr w:type="spellEnd"/>
            <w:r w:rsidRPr="00026C50">
              <w:t>)</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47"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W10. Sale of premiums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48"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W11. Royalty income from licensing fees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49"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W12. Other revenue not listed above and not includable by definition</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$8,170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50"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pPr>
              <w:rPr>
                <w:b/>
                <w:bCs/>
                <w:i/>
                <w:iCs/>
              </w:rPr>
            </w:pPr>
            <w:r w:rsidRPr="00026C50">
              <w:rPr>
                <w:b/>
                <w:bCs/>
                <w:i/>
                <w:iCs/>
              </w:rPr>
              <w:t>List below any revenue claimed in Part I - Revenue and Support (lines 4 through 11), above, that is represented by the following activities regardless of source:</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 </w:t>
            </w:r>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W13. A wholly owned or partially owned for-profit subsidiary regardless of the nature of the business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51"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W14. A wholly owned or partially owned nonprofit subsidiary</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52"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W15. Sale of program guides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53"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lastRenderedPageBreak/>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W16. Program guide advertising attributable to that percent of total copies distributed that have been sold through normal retail outlets and/or by magazine subscription</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54"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W17. Refunds, rebates, reimbursements, and insurance proceeds</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55"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W18. Other</w:t>
            </w:r>
          </w:p>
          <w:tbl>
            <w:tblPr>
              <w:tblW w:w="0" w:type="auto"/>
              <w:tblCellSpacing w:w="0" w:type="dxa"/>
              <w:shd w:val="clear" w:color="auto" w:fill="CCCCCC"/>
              <w:tblCellMar>
                <w:left w:w="0" w:type="dxa"/>
                <w:right w:w="0" w:type="dxa"/>
              </w:tblCellMar>
              <w:tblLook w:val="04A0" w:firstRow="1" w:lastRow="0" w:firstColumn="1" w:lastColumn="0" w:noHBand="0" w:noVBand="1"/>
            </w:tblPr>
            <w:tblGrid>
              <w:gridCol w:w="6"/>
            </w:tblGrid>
            <w:tr w:rsidR="00026C50" w:rsidRPr="00026C50">
              <w:trPr>
                <w:tblHeader/>
                <w:tblCellSpacing w:w="0" w:type="dxa"/>
              </w:trPr>
              <w:tc>
                <w:tcPr>
                  <w:tcW w:w="0" w:type="auto"/>
                  <w:shd w:val="clear" w:color="auto" w:fill="CCCCCC"/>
                  <w:vAlign w:val="center"/>
                  <w:hideMark/>
                </w:tcPr>
                <w:p w:rsidR="00026C50" w:rsidRPr="00026C50" w:rsidRDefault="00026C50" w:rsidP="00026C50"/>
              </w:tc>
            </w:tr>
          </w:tbl>
          <w:p w:rsidR="00026C50" w:rsidRPr="00026C50" w:rsidRDefault="00026C50" w:rsidP="00026C50"/>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56"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W19. Total revenue not meeting criteria for inclusion as NFFS (sum of lines W1-W18)</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$17,938</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$26,982</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57" w:tooltip="Read or enter comments" w:history="1">
              <w:r w:rsidRPr="00026C50">
                <w:rPr>
                  <w:rStyle w:val="Hyperlink"/>
                </w:rPr>
                <w:t>Comments</w:t>
              </w:r>
            </w:hyperlink>
          </w:p>
        </w:tc>
      </w:tr>
    </w:tbl>
    <w:p w:rsidR="00026C50" w:rsidRPr="00026C50" w:rsidRDefault="00026C50" w:rsidP="00026C50"/>
    <w:p w:rsidR="00026C50" w:rsidRPr="00026C50" w:rsidRDefault="00026C50" w:rsidP="00026C50">
      <w:pPr>
        <w:rPr>
          <w:b/>
          <w:bCs/>
        </w:rPr>
      </w:pPr>
      <w:r w:rsidRPr="00026C50">
        <w:rPr>
          <w:b/>
          <w:bCs/>
        </w:rPr>
        <w:t>Choose Reporting Model</w:t>
      </w:r>
    </w:p>
    <w:p w:rsidR="00026C50" w:rsidRPr="00026C50" w:rsidRDefault="00026C50" w:rsidP="00026C50">
      <w:r w:rsidRPr="00026C50">
        <w:t>You </w:t>
      </w:r>
      <w:r w:rsidRPr="00026C50">
        <w:rPr>
          <w:i/>
          <w:iCs/>
        </w:rPr>
        <w:t>must</w:t>
      </w:r>
      <w:r w:rsidRPr="00026C50">
        <w:t> choose a reporting model in order to complete Schedule FSR.</w:t>
      </w:r>
    </w:p>
    <w:p w:rsidR="00026C50" w:rsidRPr="00026C50" w:rsidRDefault="00026C50" w:rsidP="00026C50">
      <w:pPr>
        <w:numPr>
          <w:ilvl w:val="0"/>
          <w:numId w:val="1"/>
        </w:numPr>
      </w:pPr>
      <w:r w:rsidRPr="00026C5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18pt" o:ole="">
            <v:imagedata r:id="rId58" o:title=""/>
          </v:shape>
          <w:control r:id="rId59" w:name="DefaultOcxName" w:shapeid="_x0000_i1035"/>
        </w:object>
      </w:r>
      <w:r w:rsidRPr="00026C50">
        <w:t> FASB</w:t>
      </w:r>
    </w:p>
    <w:p w:rsidR="00026C50" w:rsidRPr="00026C50" w:rsidRDefault="00026C50" w:rsidP="00026C50">
      <w:pPr>
        <w:numPr>
          <w:ilvl w:val="0"/>
          <w:numId w:val="1"/>
        </w:numPr>
      </w:pPr>
      <w:r w:rsidRPr="00026C50">
        <w:object w:dxaOrig="225" w:dyaOrig="225">
          <v:shape id="_x0000_i1034" type="#_x0000_t75" style="width:20.25pt;height:18pt" o:ole="">
            <v:imagedata r:id="rId58" o:title=""/>
          </v:shape>
          <w:control r:id="rId60" w:name="DefaultOcxName1" w:shapeid="_x0000_i1034"/>
        </w:object>
      </w:r>
      <w:r w:rsidRPr="00026C50">
        <w:t> GASB REPORTING MODEL A proprietary enterprise-fund financial statements with business-type activities only</w:t>
      </w:r>
    </w:p>
    <w:p w:rsidR="00026C50" w:rsidRPr="00026C50" w:rsidRDefault="00026C50" w:rsidP="00026C50">
      <w:pPr>
        <w:numPr>
          <w:ilvl w:val="0"/>
          <w:numId w:val="1"/>
        </w:numPr>
      </w:pPr>
      <w:r w:rsidRPr="00026C50">
        <w:object w:dxaOrig="225" w:dyaOrig="225">
          <v:shape id="_x0000_i1033" type="#_x0000_t75" style="width:20.25pt;height:18pt" o:ole="">
            <v:imagedata r:id="rId58" o:title=""/>
          </v:shape>
          <w:control r:id="rId61" w:name="DefaultOcxName2" w:shapeid="_x0000_i1033"/>
        </w:object>
      </w:r>
      <w:r w:rsidRPr="00026C50">
        <w:t> GASB REPORTING MODEL B public broadcasting entity-wide statements with mixed governmental and business-type activities</w:t>
      </w:r>
    </w:p>
    <w:p w:rsidR="00026C50" w:rsidRPr="00026C50" w:rsidRDefault="00026C50" w:rsidP="00026C50">
      <w:r w:rsidRPr="00026C50">
        <w:drawing>
          <wp:inline distT="0" distB="0" distL="0" distR="0" wp14:anchorId="0A417C6A" wp14:editId="0D4E9819">
            <wp:extent cx="514350" cy="228600"/>
            <wp:effectExtent l="0" t="0" r="0" b="0"/>
            <wp:docPr id="1" name="Picture 1" descr="https://isis.cpb.org/images/form_bttn_cho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is.cpb.org/images/form_bttn_choose.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bl>
      <w:tblPr>
        <w:tblW w:w="10515" w:type="dxa"/>
        <w:tblCellSpacing w:w="0" w:type="dxa"/>
        <w:shd w:val="clear" w:color="auto" w:fill="EAEAEA"/>
        <w:tblCellMar>
          <w:left w:w="0" w:type="dxa"/>
          <w:right w:w="0" w:type="dxa"/>
        </w:tblCellMar>
        <w:tblLook w:val="04A0" w:firstRow="1" w:lastRow="0" w:firstColumn="1" w:lastColumn="0" w:noHBand="0" w:noVBand="1"/>
      </w:tblPr>
      <w:tblGrid>
        <w:gridCol w:w="300"/>
        <w:gridCol w:w="7069"/>
        <w:gridCol w:w="1058"/>
        <w:gridCol w:w="1058"/>
        <w:gridCol w:w="1030"/>
      </w:tblGrid>
      <w:tr w:rsidR="00026C50" w:rsidRPr="00026C50" w:rsidTr="00026C50">
        <w:trPr>
          <w:tblCellSpacing w:w="0" w:type="dxa"/>
        </w:trPr>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Reconciliation of FSR with </w:t>
            </w:r>
            <w:r w:rsidRPr="00026C50">
              <w:rPr>
                <w:b/>
                <w:bCs/>
              </w:rPr>
              <w:br/>
            </w:r>
            <w:r w:rsidRPr="00026C50">
              <w:rPr>
                <w:b/>
                <w:bCs/>
              </w:rPr>
              <w:br/>
            </w:r>
            <w:r w:rsidRPr="00026C50">
              <w:rPr>
                <w:b/>
                <w:bCs/>
              </w:rPr>
              <w:lastRenderedPageBreak/>
              <w:t>Audited Financial Statements Description</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lastRenderedPageBreak/>
              <w:t>2016 data</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2017 data</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 </w:t>
            </w:r>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lastRenderedPageBreak/>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R1. Total support and revenue - unrestricted</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$240,395</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$222,292</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63"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R2. Total support and revenue - temporarily restricted</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64"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R3. Total support and revenue - permanently restricted</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$36,347</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$32,514</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65"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R4. Total of R1-R3</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$276,742</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$254,806</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66"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Difference between AFS and FSR (Part 1, line 17 less line R4)</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67"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Is Difference equal to 0? If not, please list reconciling items (using Add below)</w:t>
            </w:r>
          </w:p>
          <w:tbl>
            <w:tblPr>
              <w:tblW w:w="0" w:type="auto"/>
              <w:tblCellSpacing w:w="0" w:type="dxa"/>
              <w:shd w:val="clear" w:color="auto" w:fill="CCCCCC"/>
              <w:tblCellMar>
                <w:left w:w="0" w:type="dxa"/>
                <w:right w:w="0" w:type="dxa"/>
              </w:tblCellMar>
              <w:tblLook w:val="04A0" w:firstRow="1" w:lastRow="0" w:firstColumn="1" w:lastColumn="0" w:noHBand="0" w:noVBand="1"/>
            </w:tblPr>
            <w:tblGrid>
              <w:gridCol w:w="6"/>
            </w:tblGrid>
            <w:tr w:rsidR="00026C50" w:rsidRPr="00026C50">
              <w:trPr>
                <w:tblHeader/>
                <w:tblCellSpacing w:w="0" w:type="dxa"/>
              </w:trPr>
              <w:tc>
                <w:tcPr>
                  <w:tcW w:w="0" w:type="auto"/>
                  <w:shd w:val="clear" w:color="auto" w:fill="CCCCCC"/>
                  <w:vAlign w:val="center"/>
                  <w:hideMark/>
                </w:tcPr>
                <w:p w:rsidR="00026C50" w:rsidRPr="00026C50" w:rsidRDefault="00026C50" w:rsidP="00026C50"/>
              </w:tc>
            </w:tr>
          </w:tbl>
          <w:p w:rsidR="00026C50" w:rsidRPr="00026C50" w:rsidRDefault="00026C50" w:rsidP="00026C50"/>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68" w:tooltip="Read or enter comments" w:history="1">
              <w:r w:rsidRPr="00026C50">
                <w:rPr>
                  <w:rStyle w:val="Hyperlink"/>
                </w:rPr>
                <w:t>Comments</w:t>
              </w:r>
            </w:hyperlink>
          </w:p>
        </w:tc>
      </w:tr>
      <w:tr w:rsidR="00026C50" w:rsidRPr="00026C50" w:rsidTr="00026C50">
        <w:trPr>
          <w:tblCellSpacing w:w="0" w:type="dxa"/>
        </w:trPr>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NFFS SUMMARY</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2016 data</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2017 data</w:t>
            </w:r>
          </w:p>
        </w:tc>
        <w:tc>
          <w:tcPr>
            <w:tcW w:w="0" w:type="auto"/>
            <w:tcBorders>
              <w:bottom w:val="single" w:sz="12" w:space="0" w:color="FFFFFF"/>
            </w:tcBorders>
            <w:shd w:val="clear" w:color="auto" w:fill="79A5D2"/>
            <w:noWrap/>
            <w:tcMar>
              <w:top w:w="75" w:type="dxa"/>
              <w:left w:w="75" w:type="dxa"/>
              <w:bottom w:w="0" w:type="dxa"/>
              <w:right w:w="75" w:type="dxa"/>
            </w:tcMar>
            <w:vAlign w:val="bottom"/>
            <w:hideMark/>
          </w:tcPr>
          <w:p w:rsidR="00026C50" w:rsidRPr="00026C50" w:rsidRDefault="00026C50" w:rsidP="00026C50">
            <w:pPr>
              <w:rPr>
                <w:b/>
                <w:bCs/>
              </w:rPr>
            </w:pPr>
            <w:r w:rsidRPr="00026C50">
              <w:rPr>
                <w:b/>
                <w:bCs/>
              </w:rPr>
              <w:t> </w:t>
            </w:r>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1. Direct Revenue - Part I, line 15</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$138,627</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$105,453</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69"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2. In-kind Contributions - Part I, line 16a</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70"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3. Indirect administrative support - Part I, line 16c</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$0</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71" w:tooltip="Read or enter comments" w:history="1">
              <w:r w:rsidRPr="00026C50">
                <w:rPr>
                  <w:rStyle w:val="Hyperlink"/>
                </w:rPr>
                <w:t>Comments</w:t>
              </w:r>
            </w:hyperlink>
          </w:p>
        </w:tc>
      </w:tr>
      <w:tr w:rsidR="00026C50" w:rsidRPr="00026C50" w:rsidTr="00026C50">
        <w:trPr>
          <w:tblCellSpacing w:w="0" w:type="dxa"/>
        </w:trPr>
        <w:tc>
          <w:tcPr>
            <w:tcW w:w="300" w:type="dxa"/>
            <w:tcBorders>
              <w:bottom w:val="single" w:sz="12" w:space="0" w:color="FFFFFF"/>
            </w:tcBorders>
            <w:shd w:val="clear" w:color="auto" w:fill="EAEAEA"/>
            <w:hideMark/>
          </w:tcPr>
          <w:p w:rsidR="00026C50" w:rsidRPr="00026C50" w:rsidRDefault="00026C50" w:rsidP="00026C50">
            <w:r w:rsidRPr="00026C50">
              <w:t> </w:t>
            </w:r>
          </w:p>
        </w:tc>
        <w:tc>
          <w:tcPr>
            <w:tcW w:w="0" w:type="auto"/>
            <w:tcBorders>
              <w:bottom w:val="single" w:sz="12" w:space="0" w:color="FFFFFF"/>
            </w:tcBorders>
            <w:shd w:val="clear" w:color="auto" w:fill="EAEAEA"/>
            <w:tcMar>
              <w:top w:w="75" w:type="dxa"/>
              <w:left w:w="75" w:type="dxa"/>
              <w:bottom w:w="45" w:type="dxa"/>
              <w:right w:w="75" w:type="dxa"/>
            </w:tcMar>
            <w:hideMark/>
          </w:tcPr>
          <w:p w:rsidR="00026C50" w:rsidRPr="00026C50" w:rsidRDefault="00026C50" w:rsidP="00026C50">
            <w:r w:rsidRPr="00026C50">
              <w:t>4. Total NFFS (sum of Part 1, lines 15, 16a, and 16c)</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$138,627</w:t>
            </w:r>
          </w:p>
        </w:tc>
        <w:tc>
          <w:tcPr>
            <w:tcW w:w="0" w:type="auto"/>
            <w:tcBorders>
              <w:bottom w:val="single" w:sz="12" w:space="0" w:color="FFFFFF"/>
            </w:tcBorders>
            <w:shd w:val="clear" w:color="auto" w:fill="EAEAEA"/>
            <w:noWrap/>
            <w:tcMar>
              <w:top w:w="135" w:type="dxa"/>
              <w:left w:w="0" w:type="dxa"/>
              <w:bottom w:w="45" w:type="dxa"/>
              <w:right w:w="0" w:type="dxa"/>
            </w:tcMar>
            <w:hideMark/>
          </w:tcPr>
          <w:p w:rsidR="00026C50" w:rsidRPr="00026C50" w:rsidRDefault="00026C50" w:rsidP="00026C50">
            <w:r w:rsidRPr="00026C50">
              <w:t>$105,453</w:t>
            </w:r>
          </w:p>
        </w:tc>
        <w:tc>
          <w:tcPr>
            <w:tcW w:w="300" w:type="dxa"/>
            <w:tcBorders>
              <w:bottom w:val="single" w:sz="12" w:space="0" w:color="FFFFFF"/>
            </w:tcBorders>
            <w:shd w:val="clear" w:color="auto" w:fill="EAEAEA"/>
            <w:tcMar>
              <w:top w:w="90" w:type="dxa"/>
              <w:left w:w="0" w:type="dxa"/>
              <w:bottom w:w="0" w:type="dxa"/>
              <w:right w:w="60" w:type="dxa"/>
            </w:tcMar>
            <w:hideMark/>
          </w:tcPr>
          <w:p w:rsidR="00026C50" w:rsidRPr="00026C50" w:rsidRDefault="00026C50" w:rsidP="00026C50">
            <w:hyperlink r:id="rId72" w:tooltip="Read or enter comments" w:history="1">
              <w:r w:rsidRPr="00026C50">
                <w:rPr>
                  <w:rStyle w:val="Hyperlink"/>
                </w:rPr>
                <w:t>Comments</w:t>
              </w:r>
            </w:hyperlink>
          </w:p>
        </w:tc>
      </w:tr>
    </w:tbl>
    <w:p w:rsidR="00026C50" w:rsidRPr="00026C50" w:rsidRDefault="00026C50" w:rsidP="00026C50">
      <w:hyperlink r:id="rId73" w:history="1">
        <w:r w:rsidRPr="00026C50">
          <w:rPr>
            <w:rStyle w:val="Hyperlink"/>
          </w:rPr>
          <w:t>Back to Main</w:t>
        </w:r>
      </w:hyperlink>
    </w:p>
    <w:p w:rsidR="00026C50" w:rsidRPr="00026C50" w:rsidRDefault="00026C50" w:rsidP="00026C50">
      <w:r w:rsidRPr="00026C50">
        <w:lastRenderedPageBreak/>
        <w:t> </w:t>
      </w:r>
    </w:p>
    <w:p w:rsidR="00C22400" w:rsidRDefault="00AA5D55">
      <w:bookmarkStart w:id="0" w:name="_GoBack"/>
      <w:bookmarkEnd w:id="0"/>
    </w:p>
    <w:sectPr w:rsidR="00C22400" w:rsidSect="00026C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51E29"/>
    <w:multiLevelType w:val="multilevel"/>
    <w:tmpl w:val="6FCC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50"/>
    <w:rsid w:val="00026C50"/>
    <w:rsid w:val="002C5D72"/>
    <w:rsid w:val="00C6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C50"/>
    <w:rPr>
      <w:color w:val="0000FF" w:themeColor="hyperlink"/>
      <w:u w:val="single"/>
    </w:rPr>
  </w:style>
  <w:style w:type="paragraph" w:styleId="BalloonText">
    <w:name w:val="Balloon Text"/>
    <w:basedOn w:val="Normal"/>
    <w:link w:val="BalloonTextChar"/>
    <w:uiPriority w:val="99"/>
    <w:semiHidden/>
    <w:unhideWhenUsed/>
    <w:rsid w:val="0002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C50"/>
    <w:rPr>
      <w:color w:val="0000FF" w:themeColor="hyperlink"/>
      <w:u w:val="single"/>
    </w:rPr>
  </w:style>
  <w:style w:type="paragraph" w:styleId="BalloonText">
    <w:name w:val="Balloon Text"/>
    <w:basedOn w:val="Normal"/>
    <w:link w:val="BalloonTextChar"/>
    <w:uiPriority w:val="99"/>
    <w:semiHidden/>
    <w:unhideWhenUsed/>
    <w:rsid w:val="0002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99178">
      <w:bodyDiv w:val="1"/>
      <w:marLeft w:val="0"/>
      <w:marRight w:val="0"/>
      <w:marTop w:val="0"/>
      <w:marBottom w:val="0"/>
      <w:divBdr>
        <w:top w:val="none" w:sz="0" w:space="0" w:color="auto"/>
        <w:left w:val="none" w:sz="0" w:space="0" w:color="auto"/>
        <w:bottom w:val="none" w:sz="0" w:space="0" w:color="auto"/>
        <w:right w:val="none" w:sz="0" w:space="0" w:color="auto"/>
      </w:divBdr>
      <w:divsChild>
        <w:div w:id="1580865773">
          <w:marLeft w:val="0"/>
          <w:marRight w:val="0"/>
          <w:marTop w:val="0"/>
          <w:marBottom w:val="0"/>
          <w:divBdr>
            <w:top w:val="none" w:sz="0" w:space="0" w:color="auto"/>
            <w:left w:val="none" w:sz="0" w:space="0" w:color="auto"/>
            <w:bottom w:val="none" w:sz="0" w:space="0" w:color="auto"/>
            <w:right w:val="none" w:sz="0" w:space="0" w:color="auto"/>
          </w:divBdr>
          <w:divsChild>
            <w:div w:id="1064838201">
              <w:marLeft w:val="0"/>
              <w:marRight w:val="0"/>
              <w:marTop w:val="0"/>
              <w:marBottom w:val="0"/>
              <w:divBdr>
                <w:top w:val="none" w:sz="0" w:space="0" w:color="auto"/>
                <w:left w:val="none" w:sz="0" w:space="0" w:color="auto"/>
                <w:bottom w:val="none" w:sz="0" w:space="0" w:color="auto"/>
                <w:right w:val="none" w:sz="0" w:space="0" w:color="auto"/>
              </w:divBdr>
            </w:div>
            <w:div w:id="481625261">
              <w:marLeft w:val="0"/>
              <w:marRight w:val="0"/>
              <w:marTop w:val="0"/>
              <w:marBottom w:val="150"/>
              <w:divBdr>
                <w:top w:val="none" w:sz="0" w:space="0" w:color="auto"/>
                <w:left w:val="none" w:sz="0" w:space="0" w:color="auto"/>
                <w:bottom w:val="none" w:sz="0" w:space="0" w:color="auto"/>
                <w:right w:val="none" w:sz="0" w:space="0" w:color="auto"/>
              </w:divBdr>
            </w:div>
          </w:divsChild>
        </w:div>
        <w:div w:id="1399284015">
          <w:marLeft w:val="0"/>
          <w:marRight w:val="21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is.cpb.org/HeaderClick.aspx?Rdct=FSR" TargetMode="External"/><Relationship Id="rId18" Type="http://schemas.openxmlformats.org/officeDocument/2006/relationships/hyperlink" Target="https://isis.cpb.org/HeaderClick.aspx?Rdct=FSR" TargetMode="External"/><Relationship Id="rId26" Type="http://schemas.openxmlformats.org/officeDocument/2006/relationships/hyperlink" Target="https://isis.cpb.org/HeaderClick.aspx?Rdct=FSR" TargetMode="External"/><Relationship Id="rId39" Type="http://schemas.openxmlformats.org/officeDocument/2006/relationships/hyperlink" Target="https://isis.cpb.org/HeaderClick.aspx?Rdct=FSR" TargetMode="External"/><Relationship Id="rId21" Type="http://schemas.openxmlformats.org/officeDocument/2006/relationships/hyperlink" Target="https://isis.cpb.org/HeaderClick.aspx?Rdct=FSR" TargetMode="External"/><Relationship Id="rId34" Type="http://schemas.openxmlformats.org/officeDocument/2006/relationships/hyperlink" Target="https://isis.cpb.org/HeaderClick.aspx?Rdct=FSR" TargetMode="External"/><Relationship Id="rId42" Type="http://schemas.openxmlformats.org/officeDocument/2006/relationships/hyperlink" Target="https://isis.cpb.org/HeaderClick.aspx?Rdct=FSR" TargetMode="External"/><Relationship Id="rId47" Type="http://schemas.openxmlformats.org/officeDocument/2006/relationships/hyperlink" Target="https://isis.cpb.org/HeaderClick.aspx?Rdct=FSR" TargetMode="External"/><Relationship Id="rId50" Type="http://schemas.openxmlformats.org/officeDocument/2006/relationships/hyperlink" Target="https://isis.cpb.org/HeaderClick.aspx?Rdct=FSR" TargetMode="External"/><Relationship Id="rId55" Type="http://schemas.openxmlformats.org/officeDocument/2006/relationships/hyperlink" Target="https://isis.cpb.org/HeaderClick.aspx?Rdct=FSR" TargetMode="External"/><Relationship Id="rId63" Type="http://schemas.openxmlformats.org/officeDocument/2006/relationships/hyperlink" Target="https://isis.cpb.org/HeaderClick.aspx?Rdct=FSR" TargetMode="External"/><Relationship Id="rId68" Type="http://schemas.openxmlformats.org/officeDocument/2006/relationships/hyperlink" Target="https://isis.cpb.org/HeaderClick.aspx?Rdct=FSR" TargetMode="External"/><Relationship Id="rId7" Type="http://schemas.openxmlformats.org/officeDocument/2006/relationships/hyperlink" Target="https://isis.cpb.org/HeaderClick.aspx?Rdct=FSR" TargetMode="External"/><Relationship Id="rId71" Type="http://schemas.openxmlformats.org/officeDocument/2006/relationships/hyperlink" Target="https://isis.cpb.org/HeaderClick.aspx?Rdct=FSR" TargetMode="External"/><Relationship Id="rId2" Type="http://schemas.openxmlformats.org/officeDocument/2006/relationships/styles" Target="styles.xml"/><Relationship Id="rId16" Type="http://schemas.openxmlformats.org/officeDocument/2006/relationships/hyperlink" Target="https://isis.cpb.org/HeaderClick.aspx?Rdct=FSR" TargetMode="External"/><Relationship Id="rId29" Type="http://schemas.openxmlformats.org/officeDocument/2006/relationships/hyperlink" Target="https://isis.cpb.org/HeaderClick.aspx?Rdct=FSR" TargetMode="External"/><Relationship Id="rId11" Type="http://schemas.openxmlformats.org/officeDocument/2006/relationships/hyperlink" Target="https://isis.cpb.org/HeaderClick.aspx?Rdct=FSR" TargetMode="External"/><Relationship Id="rId24" Type="http://schemas.openxmlformats.org/officeDocument/2006/relationships/hyperlink" Target="https://isis.cpb.org/HeaderClick.aspx?Rdct=FSR" TargetMode="External"/><Relationship Id="rId32" Type="http://schemas.openxmlformats.org/officeDocument/2006/relationships/hyperlink" Target="https://isis.cpb.org/HeaderClick.aspx?Rdct=FSR" TargetMode="External"/><Relationship Id="rId37" Type="http://schemas.openxmlformats.org/officeDocument/2006/relationships/hyperlink" Target="https://isis.cpb.org/HeaderClick.aspx?Rdct=FSR" TargetMode="External"/><Relationship Id="rId40" Type="http://schemas.openxmlformats.org/officeDocument/2006/relationships/hyperlink" Target="https://isis.cpb.org/HeaderClick.aspx?Rdct=FSR" TargetMode="External"/><Relationship Id="rId45" Type="http://schemas.openxmlformats.org/officeDocument/2006/relationships/hyperlink" Target="https://isis.cpb.org/HeaderClick.aspx?Rdct=FSR" TargetMode="External"/><Relationship Id="rId53" Type="http://schemas.openxmlformats.org/officeDocument/2006/relationships/hyperlink" Target="https://isis.cpb.org/HeaderClick.aspx?Rdct=FSR" TargetMode="External"/><Relationship Id="rId58" Type="http://schemas.openxmlformats.org/officeDocument/2006/relationships/image" Target="media/image1.wmf"/><Relationship Id="rId66" Type="http://schemas.openxmlformats.org/officeDocument/2006/relationships/hyperlink" Target="https://isis.cpb.org/HeaderClick.aspx?Rdct=FSR"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sis.cpb.org/HeaderClick.aspx?Rdct=FSR" TargetMode="External"/><Relationship Id="rId23" Type="http://schemas.openxmlformats.org/officeDocument/2006/relationships/hyperlink" Target="https://isis.cpb.org/HeaderClick.aspx?Rdct=FSR" TargetMode="External"/><Relationship Id="rId28" Type="http://schemas.openxmlformats.org/officeDocument/2006/relationships/hyperlink" Target="https://isis.cpb.org/HeaderClick.aspx?Rdct=FSR" TargetMode="External"/><Relationship Id="rId36" Type="http://schemas.openxmlformats.org/officeDocument/2006/relationships/hyperlink" Target="https://isis.cpb.org/HeaderClick.aspx?Rdct=FSR" TargetMode="External"/><Relationship Id="rId49" Type="http://schemas.openxmlformats.org/officeDocument/2006/relationships/hyperlink" Target="https://isis.cpb.org/HeaderClick.aspx?Rdct=FSR" TargetMode="External"/><Relationship Id="rId57" Type="http://schemas.openxmlformats.org/officeDocument/2006/relationships/hyperlink" Target="https://isis.cpb.org/HeaderClick.aspx?Rdct=FSR" TargetMode="External"/><Relationship Id="rId61" Type="http://schemas.openxmlformats.org/officeDocument/2006/relationships/control" Target="activeX/activeX3.xml"/><Relationship Id="rId10" Type="http://schemas.openxmlformats.org/officeDocument/2006/relationships/hyperlink" Target="https://isis.cpb.org/HeaderClick.aspx?Rdct=FSR" TargetMode="External"/><Relationship Id="rId19" Type="http://schemas.openxmlformats.org/officeDocument/2006/relationships/hyperlink" Target="https://isis.cpb.org/HeaderClick.aspx?Rdct=FSR" TargetMode="External"/><Relationship Id="rId31" Type="http://schemas.openxmlformats.org/officeDocument/2006/relationships/hyperlink" Target="https://isis.cpb.org/HeaderClick.aspx?Rdct=FSR" TargetMode="External"/><Relationship Id="rId44" Type="http://schemas.openxmlformats.org/officeDocument/2006/relationships/hyperlink" Target="https://isis.cpb.org/HeaderClick.aspx?Rdct=FSR" TargetMode="External"/><Relationship Id="rId52" Type="http://schemas.openxmlformats.org/officeDocument/2006/relationships/hyperlink" Target="https://isis.cpb.org/HeaderClick.aspx?Rdct=FSR" TargetMode="External"/><Relationship Id="rId60" Type="http://schemas.openxmlformats.org/officeDocument/2006/relationships/control" Target="activeX/activeX2.xml"/><Relationship Id="rId65" Type="http://schemas.openxmlformats.org/officeDocument/2006/relationships/hyperlink" Target="https://isis.cpb.org/HeaderClick.aspx?Rdct=FSR" TargetMode="External"/><Relationship Id="rId73" Type="http://schemas.openxmlformats.org/officeDocument/2006/relationships/hyperlink" Target="https://isis.cpb.org/HeaderClick.aspx?Rdct=FinancialMain" TargetMode="External"/><Relationship Id="rId4" Type="http://schemas.openxmlformats.org/officeDocument/2006/relationships/settings" Target="settings.xml"/><Relationship Id="rId9" Type="http://schemas.openxmlformats.org/officeDocument/2006/relationships/hyperlink" Target="https://isis.cpb.org/HeaderClick.aspx?Rdct=FSR" TargetMode="External"/><Relationship Id="rId14" Type="http://schemas.openxmlformats.org/officeDocument/2006/relationships/hyperlink" Target="https://isis.cpb.org/HeaderClick.aspx?Rdct=FSR" TargetMode="External"/><Relationship Id="rId22" Type="http://schemas.openxmlformats.org/officeDocument/2006/relationships/hyperlink" Target="https://isis.cpb.org/HeaderClick.aspx?Rdct=FSR" TargetMode="External"/><Relationship Id="rId27" Type="http://schemas.openxmlformats.org/officeDocument/2006/relationships/hyperlink" Target="https://isis.cpb.org/HeaderClick.aspx?Rdct=FSR" TargetMode="External"/><Relationship Id="rId30" Type="http://schemas.openxmlformats.org/officeDocument/2006/relationships/hyperlink" Target="https://isis.cpb.org/HeaderClick.aspx?Rdct=FSR" TargetMode="External"/><Relationship Id="rId35" Type="http://schemas.openxmlformats.org/officeDocument/2006/relationships/hyperlink" Target="https://isis.cpb.org/HeaderClick.aspx?Rdct=FSR" TargetMode="External"/><Relationship Id="rId43" Type="http://schemas.openxmlformats.org/officeDocument/2006/relationships/hyperlink" Target="https://isis.cpb.org/HeaderClick.aspx?Rdct=FSR" TargetMode="External"/><Relationship Id="rId48" Type="http://schemas.openxmlformats.org/officeDocument/2006/relationships/hyperlink" Target="https://isis.cpb.org/HeaderClick.aspx?Rdct=FSR" TargetMode="External"/><Relationship Id="rId56" Type="http://schemas.openxmlformats.org/officeDocument/2006/relationships/hyperlink" Target="https://isis.cpb.org/HeaderClick.aspx?Rdct=FSR" TargetMode="External"/><Relationship Id="rId64" Type="http://schemas.openxmlformats.org/officeDocument/2006/relationships/hyperlink" Target="https://isis.cpb.org/HeaderClick.aspx?Rdct=FSR" TargetMode="External"/><Relationship Id="rId69" Type="http://schemas.openxmlformats.org/officeDocument/2006/relationships/hyperlink" Target="https://isis.cpb.org/HeaderClick.aspx?Rdct=FSR" TargetMode="External"/><Relationship Id="rId8" Type="http://schemas.openxmlformats.org/officeDocument/2006/relationships/hyperlink" Target="https://isis.cpb.org/HeaderClick.aspx?Rdct=FSR" TargetMode="External"/><Relationship Id="rId51" Type="http://schemas.openxmlformats.org/officeDocument/2006/relationships/hyperlink" Target="https://isis.cpb.org/HeaderClick.aspx?Rdct=FSR" TargetMode="External"/><Relationship Id="rId72" Type="http://schemas.openxmlformats.org/officeDocument/2006/relationships/hyperlink" Target="https://isis.cpb.org/HeaderClick.aspx?Rdct=FSR" TargetMode="External"/><Relationship Id="rId3" Type="http://schemas.microsoft.com/office/2007/relationships/stylesWithEffects" Target="stylesWithEffects.xml"/><Relationship Id="rId12" Type="http://schemas.openxmlformats.org/officeDocument/2006/relationships/hyperlink" Target="https://isis.cpb.org/HeaderClick.aspx?Rdct=FSR" TargetMode="External"/><Relationship Id="rId17" Type="http://schemas.openxmlformats.org/officeDocument/2006/relationships/hyperlink" Target="https://isis.cpb.org/HeaderClick.aspx?Rdct=FSR" TargetMode="External"/><Relationship Id="rId25" Type="http://schemas.openxmlformats.org/officeDocument/2006/relationships/hyperlink" Target="https://isis.cpb.org/HeaderClick.aspx?Rdct=FSR" TargetMode="External"/><Relationship Id="rId33" Type="http://schemas.openxmlformats.org/officeDocument/2006/relationships/hyperlink" Target="https://isis.cpb.org/HeaderClick.aspx?Rdct=FSR" TargetMode="External"/><Relationship Id="rId38" Type="http://schemas.openxmlformats.org/officeDocument/2006/relationships/hyperlink" Target="https://isis.cpb.org/HeaderClick.aspx?Rdct=FSR" TargetMode="External"/><Relationship Id="rId46" Type="http://schemas.openxmlformats.org/officeDocument/2006/relationships/hyperlink" Target="https://isis.cpb.org/HeaderClick.aspx?Rdct=FSR" TargetMode="External"/><Relationship Id="rId59" Type="http://schemas.openxmlformats.org/officeDocument/2006/relationships/control" Target="activeX/activeX1.xml"/><Relationship Id="rId67" Type="http://schemas.openxmlformats.org/officeDocument/2006/relationships/hyperlink" Target="https://isis.cpb.org/HeaderClick.aspx?Rdct=FSR" TargetMode="External"/><Relationship Id="rId20" Type="http://schemas.openxmlformats.org/officeDocument/2006/relationships/hyperlink" Target="https://isis.cpb.org/HeaderClick.aspx?Rdct=FSR" TargetMode="External"/><Relationship Id="rId41" Type="http://schemas.openxmlformats.org/officeDocument/2006/relationships/hyperlink" Target="https://isis.cpb.org/HeaderClick.aspx?Rdct=FSR" TargetMode="External"/><Relationship Id="rId54" Type="http://schemas.openxmlformats.org/officeDocument/2006/relationships/hyperlink" Target="https://isis.cpb.org/HeaderClick.aspx?Rdct=FSR" TargetMode="External"/><Relationship Id="rId62" Type="http://schemas.openxmlformats.org/officeDocument/2006/relationships/image" Target="media/image2.gif"/><Relationship Id="rId70" Type="http://schemas.openxmlformats.org/officeDocument/2006/relationships/hyperlink" Target="https://isis.cpb.org/HeaderClick.aspx?Rdct=FSR"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sis.cpb.org/HeaderClick.aspx?Rdct=FS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2018-03-29T21:12:00Z</dcterms:created>
  <dcterms:modified xsi:type="dcterms:W3CDTF">2018-03-29T21:12:00Z</dcterms:modified>
</cp:coreProperties>
</file>